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323C" w:rsidRDefault="0081323C" w:rsidP="0081323C">
      <w:pPr>
        <w:ind w:left="2880"/>
        <w:jc w:val="right"/>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280035</wp:posOffset>
                </wp:positionV>
                <wp:extent cx="1181100" cy="44069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4069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1323C" w:rsidRPr="00FF7AE1" w:rsidRDefault="0081323C" w:rsidP="0081323C">
                            <w:pPr>
                              <w:jc w:val="center"/>
                              <w:rPr>
                                <w:lang w:val="en-US"/>
                              </w:rPr>
                            </w:pPr>
                            <w:r>
                              <w:rPr>
                                <w:lang w:val="en-U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5pt;margin-top:22.05pt;width:93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" fillcolor="window" strokecolor="windowText" strokeweight="1pt">
                <v:path arrowok="t"/>
                <v:textbox>
                  <w:txbxContent>
                    <w:p w:rsidR="0081323C" w:rsidRPr="00FF7AE1" w:rsidRDefault="0081323C" w:rsidP="0081323C">
                      <w:pPr>
                        <w:jc w:val="center"/>
                        <w:rPr>
                          <w:lang w:val="en-US"/>
                        </w:rPr>
                      </w:pPr>
                      <w:r>
                        <w:rPr>
                          <w:lang w:val="en-US"/>
                        </w:rPr>
                        <w:t>DỰ THẢO</w:t>
                      </w:r>
                    </w:p>
                  </w:txbxContent>
                </v:textbox>
              </v:rect>
            </w:pict>
          </mc:Fallback>
        </mc:AlternateContent>
      </w:r>
      <w:r>
        <w:rPr>
          <w:lang w:val="en-US"/>
        </w:rPr>
        <w:t xml:space="preserve">                                   </w:t>
      </w:r>
      <w:r w:rsidRPr="00A94D0F">
        <w:rPr>
          <w:i/>
          <w:lang w:val="en-US"/>
        </w:rPr>
        <w:t xml:space="preserve">Hà Nội, ngày    tháng   </w:t>
      </w:r>
      <w:r w:rsidR="008B1D64">
        <w:rPr>
          <w:i/>
          <w:lang w:val="en-US"/>
        </w:rPr>
        <w:t>9</w:t>
      </w:r>
      <w:r w:rsidRPr="00A94D0F">
        <w:rPr>
          <w:i/>
          <w:lang w:val="en-US"/>
        </w:rPr>
        <w:t xml:space="preserve">  năm 2019</w:t>
      </w:r>
    </w:p>
    <w:p w:rsidR="0081323C" w:rsidRPr="00585180" w:rsidRDefault="0081323C" w:rsidP="0081323C">
      <w:pPr>
        <w:jc w:val="both"/>
        <w:rPr>
          <w:sz w:val="24"/>
          <w:szCs w:val="24"/>
          <w:lang w:val="en-US"/>
        </w:rPr>
      </w:pPr>
    </w:p>
    <w:p w:rsidR="0081323C" w:rsidRPr="0084417D" w:rsidRDefault="0081323C" w:rsidP="0081323C">
      <w:pPr>
        <w:spacing w:after="0" w:line="240" w:lineRule="auto"/>
        <w:jc w:val="center"/>
        <w:rPr>
          <w:b/>
          <w:sz w:val="28"/>
          <w:szCs w:val="28"/>
          <w:lang w:val="en-US"/>
        </w:rPr>
      </w:pPr>
      <w:r w:rsidRPr="0084417D">
        <w:rPr>
          <w:b/>
          <w:sz w:val="28"/>
          <w:szCs w:val="28"/>
          <w:lang w:val="en-US"/>
        </w:rPr>
        <w:t>THỂ LỆ BIỂU QUYẾT</w:t>
      </w:r>
    </w:p>
    <w:p w:rsidR="0081323C" w:rsidRDefault="0081323C" w:rsidP="0081323C">
      <w:pPr>
        <w:spacing w:after="0" w:line="240" w:lineRule="auto"/>
        <w:jc w:val="center"/>
        <w:rPr>
          <w:b/>
          <w:lang w:val="en-US"/>
        </w:rPr>
      </w:pPr>
    </w:p>
    <w:p w:rsidR="0081323C" w:rsidRDefault="0081323C" w:rsidP="0081323C">
      <w:pPr>
        <w:spacing w:after="60"/>
        <w:jc w:val="both"/>
        <w:rPr>
          <w:lang w:val="en-US"/>
        </w:rPr>
      </w:pPr>
      <w:r>
        <w:rPr>
          <w:lang w:val="en-US"/>
        </w:rPr>
        <w:t>Việc biểu quyết để thông qua các Báo cáo, tờ trình và các nội dung xin ý kiến của Đại hội đồng cổ đông (Đại hội) Công ty CP Halcom Việt Nam (Halcom) kỳ họp thường niên năm 2019 được tiến hành theo tỷ lệ sau đây:</w:t>
      </w:r>
    </w:p>
    <w:p w:rsidR="0081323C" w:rsidRDefault="0081323C" w:rsidP="0081323C">
      <w:pPr>
        <w:spacing w:after="60"/>
        <w:ind w:left="284" w:hanging="284"/>
        <w:jc w:val="both"/>
        <w:rPr>
          <w:lang w:val="en-US"/>
        </w:rPr>
      </w:pPr>
      <w:r>
        <w:rPr>
          <w:lang w:val="en-US"/>
        </w:rPr>
        <w:t>1. Việc biểu quyết thông qua chương trình Đại hội, Quy chế tổ chức Đại hội, Thể lệ biểu quyết, Danh sách ứng viên bầu cử bổ sung thành viên HĐQT, thành viên BKS và thành phần Ban kiểm phiếu được thực hiện theo hình thức giơ thẻ biểu quyết trực tiếp tại Đại hội và được thông qua với tỷ lệ đa số quá bán.</w:t>
      </w:r>
    </w:p>
    <w:p w:rsidR="0081323C" w:rsidRDefault="0081323C" w:rsidP="0081323C">
      <w:pPr>
        <w:spacing w:after="60"/>
        <w:ind w:left="284" w:hanging="284"/>
        <w:jc w:val="both"/>
        <w:rPr>
          <w:lang w:val="en-US"/>
        </w:rPr>
      </w:pPr>
      <w:r>
        <w:rPr>
          <w:lang w:val="en-US"/>
        </w:rPr>
        <w:t>2. Việc biểu quyết thông qua đối với các Báo cáo hoạt động của HĐQT và Ban kiểm soát; các tờ trình xin ý kiến Đại hội được thực hiện bằng hình thức bỏ phiếu kín và sử dụng các phiếu biểu quyết do Ban tổ chức Đại hội phát hành.</w:t>
      </w:r>
    </w:p>
    <w:p w:rsidR="0081323C" w:rsidRDefault="0081323C" w:rsidP="0081323C">
      <w:pPr>
        <w:spacing w:after="60"/>
        <w:ind w:left="284" w:hanging="284"/>
        <w:jc w:val="both"/>
        <w:rPr>
          <w:lang w:val="en-US"/>
        </w:rPr>
      </w:pPr>
      <w:r>
        <w:rPr>
          <w:lang w:val="en-US"/>
        </w:rPr>
        <w:t>3. Phiếu biểu quyết là phiếu in sẵn, trong đó có các thông tin: Tên cổ đông, tên người đại diện được ủy quyền của cổ đông, số lượng cổ phần sở hữu/được quyền đại diện, nội dung biểu quyết theo mẫu của Ban tổ chức Đại hội và có đóng dấu treo của Halcom, được phát cho cổ đông/người đại diện theo ủy quyền của cổ đông khi cổ đông/người đại diện theo ủy quyền của cổ đông khi cổ đông đăng ký kiểm tra tư cách cổ đông và đáp ứng đủ điều kiện tham dự Đại hội.</w:t>
      </w:r>
    </w:p>
    <w:p w:rsidR="0081323C" w:rsidRDefault="0081323C" w:rsidP="0081323C">
      <w:pPr>
        <w:spacing w:after="60"/>
        <w:ind w:left="284" w:hanging="284"/>
        <w:jc w:val="both"/>
        <w:rPr>
          <w:lang w:val="en-US"/>
        </w:rPr>
      </w:pPr>
      <w:r>
        <w:rPr>
          <w:lang w:val="en-US"/>
        </w:rPr>
        <w:t>4. Các cổ đông sẽ điề</w:t>
      </w:r>
      <w:r w:rsidR="002566EA">
        <w:rPr>
          <w:lang w:val="en-US"/>
        </w:rPr>
        <w:t>n</w:t>
      </w:r>
      <w:r>
        <w:rPr>
          <w:lang w:val="en-US"/>
        </w:rPr>
        <w:t xml:space="preserve"> vào phiếu biểu quyết bằng cách đánh dấu X hoặc V vào một trong các ô tương ứng: tán thành, không tán thành, không có ý kiến đối với từng vấn đề trình Đại hội. Việc kiểm phiếu biểu quyết do Ban kiểm phiếu thực hiện. Kết quả kiểm phiếu được thông báo công khai ngay tại Đại hội. Kết quả biểu quyết Tán thành, Không tán thành, Không có ý kiến là tổng số cổ phần có quyền biểu quyết than dự Đại hội do các cổ đông sở hữu (hoặc ủy quyền) và được cộng từ các phiếu hợp lệ nhận được.</w:t>
      </w:r>
    </w:p>
    <w:p w:rsidR="0081323C" w:rsidRDefault="0081323C" w:rsidP="0081323C">
      <w:pPr>
        <w:spacing w:after="60"/>
        <w:ind w:left="284" w:hanging="284"/>
        <w:jc w:val="both"/>
        <w:rPr>
          <w:lang w:val="en-US"/>
        </w:rPr>
      </w:pPr>
      <w:r>
        <w:rPr>
          <w:lang w:val="en-US"/>
        </w:rPr>
        <w:t>5. Phiếu biểu quyết được coi là hợp lệ khi đáp ứng các điều kiện sau:</w:t>
      </w:r>
    </w:p>
    <w:p w:rsidR="0081323C" w:rsidRDefault="0081323C" w:rsidP="0081323C">
      <w:pPr>
        <w:spacing w:after="60"/>
        <w:ind w:left="567" w:hanging="283"/>
        <w:jc w:val="both"/>
        <w:rPr>
          <w:lang w:val="en-US"/>
        </w:rPr>
      </w:pPr>
      <w:r>
        <w:rPr>
          <w:lang w:val="en-US"/>
        </w:rPr>
        <w:t>-</w:t>
      </w:r>
      <w:r>
        <w:rPr>
          <w:lang w:val="en-US"/>
        </w:rPr>
        <w:tab/>
        <w:t>Là Phiếu biểu quyết do Ban tổ chức Đại hội phát ra, có đóng dấu của Halcom;</w:t>
      </w:r>
    </w:p>
    <w:p w:rsidR="0081323C" w:rsidRDefault="0081323C" w:rsidP="0081323C">
      <w:pPr>
        <w:spacing w:after="60"/>
        <w:ind w:left="567" w:hanging="283"/>
        <w:jc w:val="both"/>
        <w:rPr>
          <w:lang w:val="en-US"/>
        </w:rPr>
      </w:pPr>
      <w:r>
        <w:rPr>
          <w:lang w:val="en-US"/>
        </w:rPr>
        <w:t>-</w:t>
      </w:r>
      <w:r>
        <w:rPr>
          <w:lang w:val="en-US"/>
        </w:rPr>
        <w:tab/>
        <w:t>Được cổ đông/người đại diện ủy quyền của cổ đông ký xác nhận;</w:t>
      </w:r>
    </w:p>
    <w:p w:rsidR="0081323C" w:rsidRDefault="0081323C" w:rsidP="0081323C">
      <w:pPr>
        <w:spacing w:after="60"/>
        <w:ind w:left="567" w:hanging="283"/>
        <w:jc w:val="both"/>
        <w:rPr>
          <w:lang w:val="en-US"/>
        </w:rPr>
      </w:pPr>
      <w:r>
        <w:rPr>
          <w:lang w:val="en-US"/>
        </w:rPr>
        <w:t>-</w:t>
      </w:r>
      <w:r>
        <w:rPr>
          <w:lang w:val="en-US"/>
        </w:rPr>
        <w:tab/>
        <w:t>Phiếu biểu quyết không bị rách, tẩy xóa, cạo, rửa;</w:t>
      </w:r>
    </w:p>
    <w:p w:rsidR="0081323C" w:rsidRDefault="0081323C" w:rsidP="0081323C">
      <w:pPr>
        <w:spacing w:after="60"/>
        <w:ind w:left="567" w:hanging="283"/>
        <w:jc w:val="both"/>
        <w:rPr>
          <w:lang w:val="en-US"/>
        </w:rPr>
      </w:pPr>
      <w:r>
        <w:rPr>
          <w:lang w:val="en-US"/>
        </w:rPr>
        <w:t>-</w:t>
      </w:r>
      <w:r>
        <w:rPr>
          <w:lang w:val="en-US"/>
        </w:rPr>
        <w:tab/>
        <w:t>Phiếu biểu quyết không thuộc một trong các trường hợp quy định tại mục 6 dưới đây.</w:t>
      </w:r>
    </w:p>
    <w:p w:rsidR="0081323C" w:rsidRDefault="0081323C" w:rsidP="0081323C">
      <w:pPr>
        <w:spacing w:after="60"/>
        <w:ind w:left="284" w:hanging="284"/>
        <w:jc w:val="both"/>
        <w:rPr>
          <w:lang w:val="en-US"/>
        </w:rPr>
      </w:pPr>
      <w:r>
        <w:rPr>
          <w:lang w:val="en-US"/>
        </w:rPr>
        <w:t>6. Phiếu biểu quyết được coi là không hợp lệ khi thuộc một trong các trường hợp sau:</w:t>
      </w:r>
    </w:p>
    <w:p w:rsidR="0081323C" w:rsidRDefault="0081323C" w:rsidP="0081323C">
      <w:pPr>
        <w:spacing w:after="60"/>
        <w:ind w:left="567" w:hanging="283"/>
        <w:jc w:val="both"/>
        <w:rPr>
          <w:lang w:val="en-US"/>
        </w:rPr>
      </w:pPr>
      <w:r>
        <w:rPr>
          <w:lang w:val="en-US"/>
        </w:rPr>
        <w:t>-</w:t>
      </w:r>
      <w:r>
        <w:rPr>
          <w:lang w:val="en-US"/>
        </w:rPr>
        <w:tab/>
        <w:t>Phiếu biểu quyết không phải do Ban tổ chức Đại hội phát ra;</w:t>
      </w:r>
    </w:p>
    <w:p w:rsidR="0081323C" w:rsidRDefault="0081323C" w:rsidP="0081323C">
      <w:pPr>
        <w:spacing w:after="60"/>
        <w:ind w:left="567" w:hanging="283"/>
        <w:jc w:val="both"/>
        <w:rPr>
          <w:lang w:val="en-US"/>
        </w:rPr>
      </w:pPr>
      <w:r>
        <w:rPr>
          <w:lang w:val="en-US"/>
        </w:rPr>
        <w:t>-</w:t>
      </w:r>
      <w:r>
        <w:rPr>
          <w:lang w:val="en-US"/>
        </w:rPr>
        <w:tab/>
        <w:t>Phiếu biểu quyết không có đóng dấu của Halcom;</w:t>
      </w:r>
    </w:p>
    <w:p w:rsidR="0081323C" w:rsidRDefault="0081323C" w:rsidP="0081323C">
      <w:pPr>
        <w:spacing w:after="60"/>
        <w:ind w:left="567" w:hanging="283"/>
        <w:jc w:val="both"/>
        <w:rPr>
          <w:lang w:val="en-US"/>
        </w:rPr>
      </w:pPr>
      <w:r>
        <w:rPr>
          <w:lang w:val="en-US"/>
        </w:rPr>
        <w:t>-</w:t>
      </w:r>
      <w:r>
        <w:rPr>
          <w:lang w:val="en-US"/>
        </w:rPr>
        <w:tab/>
        <w:t>Phiếu biểu quyết bị rách, bị gạch, tẩy xóa, sửa chữa;</w:t>
      </w:r>
    </w:p>
    <w:p w:rsidR="0081323C" w:rsidRDefault="0081323C" w:rsidP="0081323C">
      <w:pPr>
        <w:spacing w:after="60"/>
        <w:ind w:left="567" w:hanging="283"/>
        <w:jc w:val="both"/>
        <w:rPr>
          <w:lang w:val="en-US"/>
        </w:rPr>
      </w:pPr>
      <w:r>
        <w:rPr>
          <w:lang w:val="en-US"/>
        </w:rPr>
        <w:t>-</w:t>
      </w:r>
      <w:r>
        <w:rPr>
          <w:lang w:val="en-US"/>
        </w:rPr>
        <w:tab/>
        <w:t>Phiếu biểu quyết ghi thêm những thông tin khác, thêm ký hiệu không phù hợp;</w:t>
      </w:r>
    </w:p>
    <w:p w:rsidR="0081323C" w:rsidRDefault="0081323C" w:rsidP="0081323C">
      <w:pPr>
        <w:spacing w:after="60"/>
        <w:ind w:left="567" w:hanging="283"/>
        <w:jc w:val="both"/>
        <w:rPr>
          <w:lang w:val="en-US"/>
        </w:rPr>
      </w:pPr>
      <w:r>
        <w:rPr>
          <w:lang w:val="en-US"/>
        </w:rPr>
        <w:t>-</w:t>
      </w:r>
      <w:r>
        <w:rPr>
          <w:lang w:val="en-US"/>
        </w:rPr>
        <w:tab/>
        <w:t>Phiếu biểu quyết không có chữ ký của các cổ đông hoặc người đại diện theo ủy quyền của cổ đông;</w:t>
      </w:r>
    </w:p>
    <w:p w:rsidR="0081323C" w:rsidRDefault="0081323C" w:rsidP="0081323C">
      <w:pPr>
        <w:spacing w:after="60"/>
        <w:ind w:left="567" w:hanging="283"/>
        <w:jc w:val="both"/>
        <w:rPr>
          <w:lang w:val="en-US"/>
        </w:rPr>
      </w:pPr>
      <w:r>
        <w:rPr>
          <w:lang w:val="en-US"/>
        </w:rPr>
        <w:t>-</w:t>
      </w:r>
      <w:r>
        <w:rPr>
          <w:lang w:val="en-US"/>
        </w:rPr>
        <w:tab/>
        <w:t>Phiếu biểu quyết được cổ đông hoặc người đại diện theo ủy quyền của cổ đông điền các nội dung không đúng theo hướng dẫn tại Phiếu biểu quyết và theo thể lệ biểu quyết này;</w:t>
      </w:r>
    </w:p>
    <w:p w:rsidR="0081323C" w:rsidRDefault="0081323C" w:rsidP="0081323C">
      <w:pPr>
        <w:spacing w:after="60"/>
        <w:ind w:left="567" w:hanging="283"/>
        <w:jc w:val="both"/>
        <w:rPr>
          <w:lang w:val="en-US"/>
        </w:rPr>
      </w:pPr>
      <w:r>
        <w:rPr>
          <w:lang w:val="en-US"/>
        </w:rPr>
        <w:lastRenderedPageBreak/>
        <w:t>-</w:t>
      </w:r>
      <w:r>
        <w:rPr>
          <w:lang w:val="en-US"/>
        </w:rPr>
        <w:tab/>
        <w:t>Phiếu biểu quyết nộp cho Ban kiểm phiếu sau khi việc bỏ phiếu kết thúc và Hòm phiếu đã được niêm phong.</w:t>
      </w:r>
    </w:p>
    <w:p w:rsidR="0081323C" w:rsidRDefault="0081323C" w:rsidP="005A6A68">
      <w:pPr>
        <w:spacing w:after="60"/>
        <w:ind w:left="284"/>
        <w:jc w:val="both"/>
        <w:rPr>
          <w:lang w:val="en-US"/>
        </w:rPr>
      </w:pPr>
      <w:r>
        <w:rPr>
          <w:lang w:val="en-US"/>
        </w:rPr>
        <w:t>Các phiếu biểu quyết không hợp lệ không được tính vào kết quả kiểm phiếu.</w:t>
      </w:r>
    </w:p>
    <w:p w:rsidR="0081323C" w:rsidRDefault="0081323C" w:rsidP="0081323C">
      <w:pPr>
        <w:spacing w:after="60"/>
        <w:ind w:left="284" w:hanging="284"/>
        <w:jc w:val="both"/>
        <w:rPr>
          <w:lang w:val="en-US"/>
        </w:rPr>
      </w:pPr>
      <w:r>
        <w:rPr>
          <w:lang w:val="en-US"/>
        </w:rPr>
        <w:t>7. Thể lệ biểu quyết này có hiệu lực ngay sau khi được Đại hội thông qua.</w:t>
      </w:r>
    </w:p>
    <w:p w:rsidR="0081323C" w:rsidRDefault="0081323C" w:rsidP="0081323C">
      <w:pPr>
        <w:spacing w:after="0" w:line="240" w:lineRule="auto"/>
        <w:jc w:val="both"/>
        <w:rPr>
          <w:lang w:val="en-US"/>
        </w:rPr>
      </w:pPr>
    </w:p>
    <w:p w:rsidR="0081323C" w:rsidRPr="00010FB2" w:rsidRDefault="0081323C" w:rsidP="0081323C">
      <w:pPr>
        <w:spacing w:after="0" w:line="240" w:lineRule="auto"/>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46"/>
      </w:tblGrid>
      <w:tr w:rsidR="0081323C" w:rsidTr="00681B23">
        <w:tc>
          <w:tcPr>
            <w:tcW w:w="4644" w:type="dxa"/>
          </w:tcPr>
          <w:p w:rsidR="0081323C" w:rsidRDefault="0081323C" w:rsidP="00681B23">
            <w:pPr>
              <w:jc w:val="both"/>
              <w:rPr>
                <w:b/>
                <w:lang w:val="en-US"/>
              </w:rPr>
            </w:pPr>
          </w:p>
        </w:tc>
        <w:tc>
          <w:tcPr>
            <w:tcW w:w="4644" w:type="dxa"/>
          </w:tcPr>
          <w:p w:rsidR="0081323C" w:rsidRPr="00585180" w:rsidRDefault="0081323C" w:rsidP="0081323C">
            <w:pPr>
              <w:spacing w:after="0"/>
              <w:jc w:val="center"/>
              <w:rPr>
                <w:b/>
                <w:lang w:val="en-US"/>
              </w:rPr>
            </w:pPr>
            <w:r w:rsidRPr="00585180">
              <w:rPr>
                <w:b/>
                <w:lang w:val="en-US"/>
              </w:rPr>
              <w:t>TM</w:t>
            </w:r>
            <w:r w:rsidR="00BC2FB4">
              <w:rPr>
                <w:b/>
                <w:lang w:val="en-US"/>
              </w:rPr>
              <w:t xml:space="preserve">. </w:t>
            </w:r>
            <w:r w:rsidRPr="00585180">
              <w:rPr>
                <w:b/>
                <w:lang w:val="en-US"/>
              </w:rPr>
              <w:t>ĐẠI HỘI ĐỒNG CỔ ĐÔNG</w:t>
            </w:r>
          </w:p>
          <w:p w:rsidR="0081323C" w:rsidRDefault="0081323C" w:rsidP="00681B23">
            <w:pPr>
              <w:jc w:val="center"/>
              <w:rPr>
                <w:b/>
                <w:lang w:val="en-US"/>
              </w:rPr>
            </w:pPr>
            <w:r w:rsidRPr="00585180">
              <w:rPr>
                <w:b/>
                <w:lang w:val="en-US"/>
              </w:rPr>
              <w:t>CHỦ TỊCH HĐQT</w:t>
            </w:r>
          </w:p>
          <w:p w:rsidR="0081323C" w:rsidRDefault="0081323C" w:rsidP="00681B23">
            <w:pPr>
              <w:jc w:val="center"/>
              <w:rPr>
                <w:b/>
                <w:lang w:val="en-US"/>
              </w:rPr>
            </w:pPr>
          </w:p>
          <w:p w:rsidR="0081323C" w:rsidRDefault="0081323C" w:rsidP="00681B23">
            <w:pPr>
              <w:tabs>
                <w:tab w:val="left" w:pos="6154"/>
              </w:tabs>
              <w:jc w:val="center"/>
              <w:rPr>
                <w:b/>
                <w:lang w:val="en-US"/>
              </w:rPr>
            </w:pPr>
          </w:p>
          <w:p w:rsidR="0081323C" w:rsidRDefault="0081323C" w:rsidP="00681B23">
            <w:pPr>
              <w:tabs>
                <w:tab w:val="left" w:pos="6154"/>
              </w:tabs>
              <w:jc w:val="center"/>
              <w:rPr>
                <w:b/>
                <w:lang w:val="en-US"/>
              </w:rPr>
            </w:pPr>
            <w:r>
              <w:rPr>
                <w:b/>
                <w:lang w:val="en-US"/>
              </w:rPr>
              <w:t>NGUYỄN QUANG HUÂN</w:t>
            </w:r>
          </w:p>
          <w:p w:rsidR="0081323C" w:rsidRDefault="0081323C" w:rsidP="00681B23">
            <w:pPr>
              <w:jc w:val="both"/>
              <w:rPr>
                <w:b/>
                <w:lang w:val="en-US"/>
              </w:rPr>
            </w:pPr>
          </w:p>
        </w:tc>
      </w:tr>
    </w:tbl>
    <w:p w:rsidR="0081323C" w:rsidRDefault="0081323C" w:rsidP="0081323C">
      <w:pPr>
        <w:jc w:val="both"/>
        <w:rPr>
          <w:b/>
          <w:lang w:val="en-US"/>
        </w:rPr>
      </w:pPr>
    </w:p>
    <w:p w:rsidR="0081323C" w:rsidRDefault="0081323C" w:rsidP="0081323C">
      <w:pPr>
        <w:jc w:val="both"/>
        <w:rPr>
          <w:b/>
          <w:lang w:val="en-US"/>
        </w:rPr>
      </w:pPr>
    </w:p>
    <w:p w:rsidR="00BA1308" w:rsidRPr="00CC7C7E" w:rsidRDefault="00BA1308" w:rsidP="00C806E2">
      <w:pPr>
        <w:jc w:val="both"/>
        <w:rPr>
          <w:rFonts w:cs="Arial"/>
        </w:rPr>
      </w:pPr>
    </w:p>
    <w:sectPr w:rsidR="00BA1308" w:rsidRPr="00CC7C7E" w:rsidSect="00A81A3E">
      <w:headerReference w:type="default" r:id="rId7"/>
      <w:footerReference w:type="default" r:id="rId8"/>
      <w:pgSz w:w="11900" w:h="16840"/>
      <w:pgMar w:top="1701" w:right="1134" w:bottom="1701" w:left="1701" w:header="0" w:footer="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A11" w:rsidRDefault="00086A11" w:rsidP="00FD7737">
      <w:r>
        <w:separator/>
      </w:r>
    </w:p>
  </w:endnote>
  <w:endnote w:type="continuationSeparator" w:id="0">
    <w:p w:rsidR="00086A11" w:rsidRDefault="00086A11" w:rsidP="00FD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81323C" w:rsidP="003060D8">
    <w:pPr>
      <w:pStyle w:val="Footer"/>
      <w:ind w:left="-1418" w:firstLine="1418"/>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5282565</wp:posOffset>
              </wp:positionH>
              <wp:positionV relativeFrom="paragraph">
                <wp:posOffset>-921385</wp:posOffset>
              </wp:positionV>
              <wp:extent cx="952500" cy="495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495300"/>
                      </a:xfrm>
                      <a:prstGeom prst="rect">
                        <a:avLst/>
                      </a:prstGeom>
                      <a:noFill/>
                      <a:ln w="6350">
                        <a:noFill/>
                      </a:ln>
                    </wps:spPr>
                    <wps:txbx>
                      <w:txbxContent>
                        <w:p w:rsidR="00BA1308" w:rsidRPr="00BA1308" w:rsidRDefault="00BA1308">
                          <w:pPr>
                            <w:rPr>
                              <w:rFonts w:cs="Arial"/>
                              <w:noProof/>
                            </w:rPr>
                          </w:pPr>
                          <w:r w:rsidRPr="00BA1308">
                            <w:rPr>
                              <w:rFonts w:cs="Arial"/>
                            </w:rPr>
                            <w:fldChar w:fldCharType="begin"/>
                          </w:r>
                          <w:r w:rsidRPr="00BA1308">
                            <w:rPr>
                              <w:rFonts w:cs="Arial"/>
                            </w:rPr>
                            <w:instrText xml:space="preserve"> PAGE   \* MERGEFORMAT </w:instrText>
                          </w:r>
                          <w:r w:rsidRPr="00BA1308">
                            <w:rPr>
                              <w:rFonts w:cs="Arial"/>
                            </w:rPr>
                            <w:fldChar w:fldCharType="separate"/>
                          </w:r>
                          <w:r w:rsidR="00086A11">
                            <w:rPr>
                              <w:rFonts w:cs="Arial"/>
                              <w:noProof/>
                            </w:rPr>
                            <w:t>1</w:t>
                          </w:r>
                          <w:r w:rsidRPr="00BA1308">
                            <w:rPr>
                              <w:rFonts w:cs="Arial"/>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5.95pt;margin-top:-72.55pt;width:7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" filled="f" stroked="f" strokeweight=".5pt">
              <v:path arrowok="t"/>
              <v:textbox>
                <w:txbxContent>
                  <w:p w:rsidR="00BA1308" w:rsidRPr="00BA1308" w:rsidRDefault="00BA1308">
                    <w:pPr>
                      <w:rPr>
                        <w:rFonts w:cs="Arial"/>
                        <w:noProof/>
                      </w:rPr>
                    </w:pPr>
                    <w:r w:rsidRPr="00BA1308">
                      <w:rPr>
                        <w:rFonts w:cs="Arial"/>
                      </w:rPr>
                      <w:fldChar w:fldCharType="begin"/>
                    </w:r>
                    <w:r w:rsidRPr="00BA1308">
                      <w:rPr>
                        <w:rFonts w:cs="Arial"/>
                      </w:rPr>
                      <w:instrText xml:space="preserve"> PAGE   \* MERGEFORMAT </w:instrText>
                    </w:r>
                    <w:r w:rsidRPr="00BA1308">
                      <w:rPr>
                        <w:rFonts w:cs="Arial"/>
                      </w:rPr>
                      <w:fldChar w:fldCharType="separate"/>
                    </w:r>
                    <w:r w:rsidR="00086A11">
                      <w:rPr>
                        <w:rFonts w:cs="Arial"/>
                        <w:noProof/>
                      </w:rPr>
                      <w:t>1</w:t>
                    </w:r>
                    <w:r w:rsidRPr="00BA1308">
                      <w:rPr>
                        <w:rFonts w:cs="Arial"/>
                        <w:noProof/>
                      </w:rPr>
                      <w:fldChar w:fldCharType="end"/>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page">
            <wp:align>right</wp:align>
          </wp:positionH>
          <wp:positionV relativeFrom="paragraph">
            <wp:posOffset>-1086485</wp:posOffset>
          </wp:positionV>
          <wp:extent cx="7556500" cy="125476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54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A11" w:rsidRDefault="00086A11" w:rsidP="00FD7737">
      <w:r>
        <w:separator/>
      </w:r>
    </w:p>
  </w:footnote>
  <w:footnote w:type="continuationSeparator" w:id="0">
    <w:p w:rsidR="00086A11" w:rsidRDefault="00086A11" w:rsidP="00FD7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737" w:rsidRDefault="0081323C" w:rsidP="003060D8">
    <w:pPr>
      <w:pStyle w:val="Header"/>
    </w:pPr>
    <w:r>
      <w:rPr>
        <w:noProof/>
        <w:lang w:val="en-US"/>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6500" cy="1028700"/>
          <wp:effectExtent l="0" t="0" r="0" b="0"/>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F5E"/>
    <w:multiLevelType w:val="hybridMultilevel"/>
    <w:tmpl w:val="60D08A74"/>
    <w:lvl w:ilvl="0" w:tplc="FBF22AE2">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1E9649D"/>
    <w:multiLevelType w:val="hybridMultilevel"/>
    <w:tmpl w:val="1E6EDF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3C"/>
    <w:rsid w:val="00086A11"/>
    <w:rsid w:val="001972C1"/>
    <w:rsid w:val="002566EA"/>
    <w:rsid w:val="002C755E"/>
    <w:rsid w:val="002D0FD6"/>
    <w:rsid w:val="002F7009"/>
    <w:rsid w:val="003060D8"/>
    <w:rsid w:val="0030798F"/>
    <w:rsid w:val="0031335E"/>
    <w:rsid w:val="00437D54"/>
    <w:rsid w:val="004C1AF0"/>
    <w:rsid w:val="00503FC5"/>
    <w:rsid w:val="005A6A68"/>
    <w:rsid w:val="006C2E8F"/>
    <w:rsid w:val="00742F09"/>
    <w:rsid w:val="0081323C"/>
    <w:rsid w:val="008B1D64"/>
    <w:rsid w:val="009361CC"/>
    <w:rsid w:val="00A13FFD"/>
    <w:rsid w:val="00A37E79"/>
    <w:rsid w:val="00A54695"/>
    <w:rsid w:val="00A81A3E"/>
    <w:rsid w:val="00B95294"/>
    <w:rsid w:val="00BA1308"/>
    <w:rsid w:val="00BC2FB4"/>
    <w:rsid w:val="00C806E2"/>
    <w:rsid w:val="00CC7C7E"/>
    <w:rsid w:val="00D14B04"/>
    <w:rsid w:val="00D91C9A"/>
    <w:rsid w:val="00E623D6"/>
    <w:rsid w:val="00EE64F3"/>
    <w:rsid w:val="00F72567"/>
    <w:rsid w:val="00FD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28A599EA-7DF4-4691-88C0-1382B276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23C"/>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737"/>
    <w:pPr>
      <w:tabs>
        <w:tab w:val="center" w:pos="4680"/>
        <w:tab w:val="right" w:pos="9360"/>
      </w:tabs>
    </w:pPr>
  </w:style>
  <w:style w:type="character" w:customStyle="1" w:styleId="HeaderChar">
    <w:name w:val="Header Char"/>
    <w:basedOn w:val="DefaultParagraphFont"/>
    <w:link w:val="Header"/>
    <w:uiPriority w:val="99"/>
    <w:rsid w:val="00FD7737"/>
  </w:style>
  <w:style w:type="paragraph" w:styleId="Footer">
    <w:name w:val="footer"/>
    <w:basedOn w:val="Normal"/>
    <w:link w:val="FooterChar"/>
    <w:uiPriority w:val="99"/>
    <w:unhideWhenUsed/>
    <w:rsid w:val="00FD7737"/>
    <w:pPr>
      <w:tabs>
        <w:tab w:val="center" w:pos="4680"/>
        <w:tab w:val="right" w:pos="9360"/>
      </w:tabs>
    </w:pPr>
  </w:style>
  <w:style w:type="character" w:customStyle="1" w:styleId="FooterChar">
    <w:name w:val="Footer Char"/>
    <w:basedOn w:val="DefaultParagraphFont"/>
    <w:link w:val="Footer"/>
    <w:uiPriority w:val="99"/>
    <w:rsid w:val="00FD7737"/>
  </w:style>
  <w:style w:type="paragraph" w:styleId="ListParagraph">
    <w:name w:val="List Paragraph"/>
    <w:basedOn w:val="Normal"/>
    <w:uiPriority w:val="34"/>
    <w:qFormat/>
    <w:rsid w:val="0081323C"/>
    <w:pPr>
      <w:ind w:left="720"/>
      <w:contextualSpacing/>
    </w:pPr>
  </w:style>
  <w:style w:type="table" w:styleId="TableGrid">
    <w:name w:val="Table Grid"/>
    <w:basedOn w:val="TableNormal"/>
    <w:uiPriority w:val="59"/>
    <w:rsid w:val="0081323C"/>
    <w:rPr>
      <w:rFonts w:ascii="Arial" w:eastAsia="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6E2"/>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inh%20-%20Legal\HEADER%20FOOTER%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HEADER FOOTER </Template>
  <TotalTime>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Vinh_Legal</dc:creator>
  <cp:keywords/>
  <dc:description/>
  <cp:lastModifiedBy>Vinh_Legal</cp:lastModifiedBy>
  <cp:revision>4</cp:revision>
  <dcterms:created xsi:type="dcterms:W3CDTF">2019-09-19T09:12:00Z</dcterms:created>
  <dcterms:modified xsi:type="dcterms:W3CDTF">2019-09-19T09:32:00Z</dcterms:modified>
</cp:coreProperties>
</file>